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after="280"/>
        <w:jc w:val="center"/>
      </w:pPr>
      <w:r>
        <w:rPr>
          <w:rFonts w:ascii="Calibri" w:hAnsi="Calibri"/>
          <w:b/>
          <w:color w:val="2E74B5"/>
          <w:sz w:val="20"/>
        </w:rPr>
        <w:t>OPERATIONS &amp; HANDOFF GUIDE</w:t>
      </w:r>
    </w:p>
    <w:p>
      <w:pPr>
        <w:spacing w:after="180"/>
        <w:jc w:val="center"/>
      </w:pPr>
      <w:r>
        <w:rPr>
          <w:rFonts w:ascii="Calibri" w:hAnsi="Calibri"/>
          <w:b/>
          <w:color w:val="243342"/>
          <w:sz w:val="56"/>
        </w:rPr>
        <w:t>Build-a-Bottle Bottle Check-In</w:t>
      </w:r>
    </w:p>
    <w:p>
      <w:pPr>
        <w:spacing w:after="360"/>
        <w:jc w:val="center"/>
      </w:pPr>
      <w:r>
        <w:rPr>
          <w:rFonts w:ascii="Calibri" w:hAnsi="Calibri"/>
          <w:color w:val="1F4D78"/>
          <w:sz w:val="34"/>
        </w:rPr>
        <w:t>Ship-My-Bottle-Home Workflow</w:t>
      </w:r>
    </w:p>
    <w:p>
      <w:pPr>
        <w:spacing w:after="480"/>
        <w:jc w:val="center"/>
      </w:pPr>
      <w:r>
        <w:rPr>
          <w:rFonts w:ascii="Calibri" w:hAnsi="Calibri"/>
          <w:i/>
          <w:color w:val="66727D"/>
          <w:sz w:val="23"/>
        </w:rPr>
        <w:t>A step-by-step guide for event setup, kiosk operation, exports, and maintenance</w:t>
      </w:r>
    </w:p>
    <w:tbl>
      <w:tblPr>
        <w:tblStyle w:val="TableGrid"/>
        <w:tblW w:type="dxa" w:w="9360"/>
        <w:jc w:val="center"/>
        <w:tblLayout w:type="fixed"/>
        <w:tblLook w:firstColumn="1" w:firstRow="1" w:lastColumn="0" w:lastRow="0" w:noHBand="0" w:noVBand="1" w:val="04A0"/>
        <w:tblInd w:w="120" w:type="dxa"/>
      </w:tblPr>
      <w:tblGrid>
        <w:gridCol w:w="2700"/>
        <w:gridCol w:w="6660"/>
      </w:tblGrid>
      <w:tr>
        <w:trPr>
          <w:cantSplit w:val="true"/>
        </w:trPr>
        <w:tc>
          <w:tcPr>
            <w:tcW w:type="dxa" w:w="2700"/>
            <w:shd w:fill="E8EEF5"/>
            <w:tcMar>
              <w:top w:w="100" w:type="dxa"/>
              <w:start w:w="120" w:type="dxa"/>
              <w:bottom w:w="100" w:type="dxa"/>
              <w:end w:w="120" w:type="dxa"/>
            </w:tcMar>
            <w:vAlign w:val="center"/>
          </w:tcPr>
          <w:p>
            <w:pPr>
              <w:spacing w:after="40" w:line="276" w:lineRule="auto"/>
            </w:pPr>
            <w:r>
              <w:rPr>
                <w:rFonts w:ascii="Calibri" w:hAnsi="Calibri"/>
                <w:b/>
                <w:sz w:val="19"/>
              </w:rPr>
              <w:t>Public kiosk</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https://build-a-bottle.wine/check-in/</w:t>
            </w:r>
          </w:p>
        </w:tc>
      </w:tr>
      <w:tr>
        <w:trPr>
          <w:cantSplit w:val="true"/>
        </w:trPr>
        <w:tc>
          <w:tcPr>
            <w:tcW w:type="dxa" w:w="2700"/>
            <w:shd w:fill="E8EEF5"/>
            <w:tcMar>
              <w:top w:w="100" w:type="dxa"/>
              <w:start w:w="120" w:type="dxa"/>
              <w:bottom w:w="100" w:type="dxa"/>
              <w:end w:w="120" w:type="dxa"/>
            </w:tcMar>
            <w:vAlign w:val="center"/>
          </w:tcPr>
          <w:p>
            <w:pPr>
              <w:spacing w:after="40" w:line="276" w:lineRule="auto"/>
            </w:pPr>
            <w:r>
              <w:rPr>
                <w:rFonts w:ascii="Calibri" w:hAnsi="Calibri"/>
                <w:b/>
                <w:sz w:val="19"/>
              </w:rPr>
              <w:t>WordPress admin</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https://build-a-bottle.wine/wp-admin/</w:t>
            </w:r>
          </w:p>
        </w:tc>
      </w:tr>
      <w:tr>
        <w:trPr>
          <w:cantSplit w:val="true"/>
        </w:trPr>
        <w:tc>
          <w:tcPr>
            <w:tcW w:type="dxa" w:w="2700"/>
            <w:shd w:fill="E8EEF5"/>
            <w:tcMar>
              <w:top w:w="100" w:type="dxa"/>
              <w:start w:w="120" w:type="dxa"/>
              <w:bottom w:w="100" w:type="dxa"/>
              <w:end w:w="120" w:type="dxa"/>
            </w:tcMar>
            <w:vAlign w:val="center"/>
          </w:tcPr>
          <w:p>
            <w:pPr>
              <w:spacing w:after="40" w:line="276" w:lineRule="auto"/>
            </w:pPr>
            <w:r>
              <w:rPr>
                <w:rFonts w:ascii="Calibri" w:hAnsi="Calibri"/>
                <w:b/>
                <w:sz w:val="19"/>
              </w:rPr>
              <w:t>Primary owner</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Savage Wine / Build-a-Bottle operations</w:t>
            </w:r>
          </w:p>
        </w:tc>
      </w:tr>
      <w:tr>
        <w:trPr>
          <w:cantSplit w:val="true"/>
        </w:trPr>
        <w:tc>
          <w:tcPr>
            <w:tcW w:type="dxa" w:w="2700"/>
            <w:shd w:fill="E8EEF5"/>
            <w:tcMar>
              <w:top w:w="100" w:type="dxa"/>
              <w:start w:w="120" w:type="dxa"/>
              <w:bottom w:w="100" w:type="dxa"/>
              <w:end w:w="120" w:type="dxa"/>
            </w:tcMar>
            <w:vAlign w:val="center"/>
          </w:tcPr>
          <w:p>
            <w:pPr>
              <w:spacing w:after="40" w:line="276" w:lineRule="auto"/>
            </w:pPr>
            <w:r>
              <w:rPr>
                <w:rFonts w:ascii="Calibri" w:hAnsi="Calibri"/>
                <w:b/>
                <w:sz w:val="19"/>
              </w:rPr>
              <w:t>Guide version</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August 12, 2026</w:t>
            </w:r>
          </w:p>
        </w:tc>
      </w:tr>
    </w:tbl>
    <w:p/>
    <w:p>
      <w:pPr>
        <w:jc w:val="center"/>
      </w:pPr>
      <w:r>
        <w:rPr>
          <w:i/>
          <w:color w:val="66727D"/>
          <w:sz w:val="19"/>
        </w:rPr>
        <w:t>Security note: Never place WordPress passwords in this guide. Store credentials in the company password manager and rotate them when staff changes.</w:t>
      </w:r>
    </w:p>
    <w:p>
      <w:r>
        <w:br w:type="page"/>
      </w:r>
    </w:p>
    <w:p>
      <w:pPr>
        <w:pStyle w:val="Heading1"/>
        <w:keepNext/>
      </w:pPr>
      <w:r>
        <w:t>1. What this workflow does</w:t>
      </w:r>
    </w:p>
    <w:p>
      <w:r>
        <w:t>The check-in page is a guest-facing event kiosk. Each guest enters the claim-check number attached to their bottle and the shipping details needed to send that bottle home after the event. Guests never see earlier submissions.</w:t>
      </w:r>
    </w:p>
    <w:p>
      <w:pPr>
        <w:pStyle w:val="ListBullet"/>
      </w:pPr>
      <w:r>
        <w:t>Allows one submission per bottle and rejects duplicate claim-check numbers.</w:t>
      </w:r>
    </w:p>
    <w:p>
      <w:pPr>
        <w:pStyle w:val="ListBullet"/>
      </w:pPr>
      <w:r>
        <w:t>Stores each submission in Fluent Forms and tags it to the event active at the time of submission.</w:t>
      </w:r>
    </w:p>
    <w:p>
      <w:pPr>
        <w:pStyle w:val="ListBullet"/>
      </w:pPr>
      <w:r>
        <w:t>Displays the current event name above the form so staff can confirm the correct event is active.</w:t>
      </w:r>
    </w:p>
    <w:p>
      <w:pPr>
        <w:pStyle w:val="ListBullet"/>
      </w:pPr>
      <w:r>
        <w:t>Locks the form when there is no current event.</w:t>
      </w:r>
    </w:p>
    <w:p>
      <w:pPr>
        <w:pStyle w:val="ListBullet"/>
      </w:pPr>
      <w:r>
        <w:t>Uses Pacific time automatically, including daylight-saving changes.</w:t>
      </w:r>
    </w:p>
    <w:p>
      <w:pPr>
        <w:pStyle w:val="ListBullet"/>
      </w:pPr>
      <w:r>
        <w:t>Sends a confirmation email to the guest. The admin notification is intentionally disabled to avoid inbox clutter.</w:t>
      </w:r>
    </w:p>
    <w:p>
      <w:pPr>
        <w:pStyle w:val="ListBullet"/>
      </w:pPr>
      <w:r>
        <w:t>Shows a five-second confirmation, then clears the form, returns to the top, and focuses Claim Check Number for the next guest.</w:t>
      </w:r>
    </w:p>
    <w:p>
      <w:pPr>
        <w:pStyle w:val="Heading1"/>
        <w:keepNext/>
      </w:pPr>
      <w:r>
        <w:t>2. Quick-reference facts</w:t>
      </w:r>
    </w:p>
    <w:tbl>
      <w:tblPr>
        <w:tblStyle w:val="TableGrid"/>
        <w:tblW w:type="dxa" w:w="9360"/>
        <w:tblLayout w:type="fixed"/>
        <w:tblLook w:firstColumn="1" w:firstRow="1" w:lastColumn="0" w:lastRow="0" w:noHBand="0" w:noVBand="1" w:val="04A0"/>
        <w:tblInd w:w="120" w:type="dxa"/>
      </w:tblPr>
      <w:tblGrid>
        <w:gridCol w:w="2700"/>
        <w:gridCol w:w="6660"/>
      </w:tblGrid>
      <w:tr>
        <w:trPr>
          <w:tblHeader w:val="true"/>
          <w:cantSplit w:val="true"/>
        </w:trPr>
        <w:tc>
          <w:tcPr>
            <w:tcW w:type="dxa" w:w="2700"/>
            <w:shd w:fill="2E74B5"/>
            <w:tcMar>
              <w:top w:w="100" w:type="dxa"/>
              <w:start w:w="120" w:type="dxa"/>
              <w:bottom w:w="100" w:type="dxa"/>
              <w:end w:w="120" w:type="dxa"/>
            </w:tcMar>
            <w:vAlign w:val="center"/>
          </w:tcPr>
          <w:p>
            <w:pPr>
              <w:spacing w:after="40" w:line="276" w:lineRule="auto"/>
            </w:pPr>
            <w:r>
              <w:rPr>
                <w:rFonts w:ascii="Calibri" w:hAnsi="Calibri"/>
                <w:b/>
                <w:color w:val="FFFFFF"/>
                <w:sz w:val="19"/>
              </w:rPr>
              <w:t>Item</w:t>
            </w:r>
          </w:p>
        </w:tc>
        <w:tc>
          <w:tcPr>
            <w:tcW w:type="dxa" w:w="6660"/>
            <w:shd w:fill="2E74B5"/>
            <w:tcMar>
              <w:top w:w="100" w:type="dxa"/>
              <w:start w:w="120" w:type="dxa"/>
              <w:bottom w:w="100" w:type="dxa"/>
              <w:end w:w="120" w:type="dxa"/>
            </w:tcMar>
            <w:vAlign w:val="center"/>
          </w:tcPr>
          <w:p>
            <w:pPr>
              <w:spacing w:after="40" w:line="276" w:lineRule="auto"/>
            </w:pPr>
            <w:r>
              <w:rPr>
                <w:rFonts w:ascii="Calibri" w:hAnsi="Calibri"/>
                <w:b/>
                <w:color w:val="FFFFFF"/>
                <w:sz w:val="19"/>
              </w:rPr>
              <w:t>Current configuration</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Public page</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/check-in/</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Form</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Fluent Forms — Bottle Check-In / Ship My Bottle Home (Form ID 3)</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Event/export tool</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WordPress Admin → Tools → Bottle Check-In CSV</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Timezone</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America/Los_Angeles (PST/PDT handled automatically)</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Required guest fields</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Claim Check Number, Name, Address Line 1, City, State, ZIP Code, Email, Phone, shipping confirmation, and age/adult-signature acknowledgment</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Optional fields</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Company and Address Line 2</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Export format</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CSV with separate address columns for Excel</w:t>
            </w:r>
          </w:p>
        </w:tc>
      </w:tr>
    </w:tbl>
    <w:p>
      <w:pPr>
        <w:pStyle w:val="Heading1"/>
        <w:keepNext/>
      </w:pPr>
      <w:r>
        <w:t>3. Before every event</w:t>
      </w:r>
    </w:p>
    <w:p>
      <w:pPr>
        <w:pStyle w:val="StepTitle"/>
      </w:pPr>
      <w:r>
        <w:t>1. Log in to WordPress</w:t>
      </w:r>
    </w:p>
    <w:p>
      <w:r>
        <w:t>Open the WordPress admin URL and sign in using the company password manager. Do not share credentials by email or place them in an event packet.</w:t>
      </w:r>
    </w:p>
    <w:p>
      <w:pPr>
        <w:pStyle w:val="StepTitle"/>
      </w:pPr>
      <w:r>
        <w:t>2. Open the event manager</w:t>
      </w:r>
    </w:p>
    <w:p>
      <w:r>
        <w:t>In the left WordPress menu, select Tools, then Bottle Check-In CSV.</w:t>
      </w:r>
    </w:p>
    <w:p>
      <w:pPr>
        <w:pStyle w:val="StepTitle"/>
      </w:pPr>
      <w:r>
        <w:t>3. Create the event</w:t>
      </w:r>
    </w:p>
    <w:p>
      <w:r>
        <w:t>Enter a short, unmistakable event name—for example, “Acme Leadership Retreat — Aug 23, 2026.” Enter the start and end date/time as local Pacific time.</w:t>
      </w:r>
    </w:p>
    <w:p>
      <w:pPr>
        <w:pStyle w:val="StepTitle"/>
      </w:pPr>
      <w:r>
        <w:t>4. Check for overlap</w:t>
      </w:r>
    </w:p>
    <w:p>
      <w:r>
        <w:t>Only one event should be active at a time. Do not create overlapping windows. If two events eventually run simultaneously, the workflow will need a deliberate event-selection enhancement before use.</w:t>
      </w:r>
    </w:p>
    <w:p>
      <w:pPr>
        <w:pStyle w:val="StepTitle"/>
      </w:pPr>
      <w:r>
        <w:t>5. Verify the live kiosk</w:t>
      </w:r>
    </w:p>
    <w:p>
      <w:r>
        <w:t>Open the public check-in page in a private/incognito window or on the event device. Confirm the page loads, the CURRENT EVENT banner shows the correct event name, and the form is unlocked.</w:t>
      </w:r>
    </w:p>
    <w:p>
      <w:pPr>
        <w:pStyle w:val="StepTitle"/>
      </w:pPr>
      <w:r>
        <w:t>6. Prepare the device</w:t>
      </w:r>
    </w:p>
    <w:p>
      <w:r>
        <w:t>Use a stable Wi-Fi connection, set display sleep to a practical interval, keep the browser on the check-in page, and make sure password autofill is not exposing staff credentials.</w:t>
      </w:r>
    </w:p>
    <w:tbl>
      <w:tblPr>
        <w:tblStyle w:val="TableGrid"/>
        <w:tblW w:type="dxa" w:w="9360"/>
        <w:tblLayout w:type="fixed"/>
        <w:tblLook w:firstColumn="1" w:firstRow="1" w:lastColumn="0" w:lastRow="0" w:noHBand="0" w:noVBand="1" w:val="04A0"/>
        <w:tblInd w:w="120" w:type="dxa"/>
      </w:tblPr>
      <w:tblGrid>
        <w:gridCol w:w="9360"/>
      </w:tblGrid>
      <w:tr>
        <w:trPr>
          <w:cantSplit w:val="true"/>
        </w:trPr>
        <w:tc>
          <w:tcPr>
            <w:tcW w:type="dxa" w:w="9360"/>
            <w:shd w:fill="FFF6DF"/>
            <w:tcMar>
              <w:top w:w="100" w:type="dxa"/>
              <w:start w:w="120" w:type="dxa"/>
              <w:bottom w:w="100" w:type="dxa"/>
              <w:end w:w="120" w:type="dxa"/>
            </w:tcMar>
            <w:vAlign w:val="center"/>
          </w:tcPr>
          <w:p>
            <w:pPr>
              <w:spacing w:after="40" w:line="276" w:lineRule="auto"/>
            </w:pPr>
            <w:r>
              <w:rPr>
                <w:rFonts w:ascii="Calibri" w:hAnsi="Calibri"/>
                <w:b/>
                <w:color w:val="6B4A00"/>
                <w:sz w:val="19"/>
              </w:rPr>
              <w:t>Important: If the form says no current event or stays locked, do not collect submissions under an old or incorrect event. Fix the event window first.</w:t>
            </w:r>
          </w:p>
        </w:tc>
      </w:tr>
    </w:tbl>
    <w:p>
      <w:pPr>
        <w:pStyle w:val="Heading1"/>
        <w:keepNext/>
      </w:pPr>
      <w:r>
        <w:t>4. Operating the kiosk at the event</w:t>
      </w:r>
    </w:p>
    <w:p>
      <w:pPr>
        <w:pStyle w:val="StepTitle"/>
      </w:pPr>
      <w:r>
        <w:t>Confirm the event banner</w:t>
      </w:r>
    </w:p>
    <w:p>
      <w:r>
        <w:t>At the start of each shift—and after any browser refresh—verify that the correct event name is displayed.</w:t>
      </w:r>
    </w:p>
    <w:p>
      <w:pPr>
        <w:pStyle w:val="StepTitle"/>
      </w:pPr>
      <w:r>
        <w:t>Hand the device to one guest at a time</w:t>
      </w:r>
    </w:p>
    <w:p>
      <w:r>
        <w:t>The guest should complete the form directly. Staff may assist, but should not collect information on a shared spreadsheet or let guests browse WordPress.</w:t>
      </w:r>
    </w:p>
    <w:p>
      <w:pPr>
        <w:pStyle w:val="StepTitle"/>
      </w:pPr>
      <w:r>
        <w:t>Use one form per bottle</w:t>
      </w:r>
    </w:p>
    <w:p>
      <w:r>
        <w:t>If one guest leaves two bottles, submit two forms using the appropriate claim-check number for each bottle.</w:t>
      </w:r>
    </w:p>
    <w:p>
      <w:pPr>
        <w:pStyle w:val="StepTitle"/>
      </w:pPr>
      <w:r>
        <w:t>Match the physical bottle</w:t>
      </w:r>
    </w:p>
    <w:p>
      <w:r>
        <w:t>Before accepting the submission, confirm the claim-check number entered matches the physical tag attached to the bottle.</w:t>
      </w:r>
    </w:p>
    <w:p>
      <w:pPr>
        <w:pStyle w:val="StepTitle"/>
      </w:pPr>
      <w:r>
        <w:t>Wait for confirmation</w:t>
      </w:r>
    </w:p>
    <w:p>
      <w:r>
        <w:t>After the guest taps CHECK IN MY BOTTLE, wait for the success message. The form should then clear after about five seconds, scroll to the top, and focus the Claim Check Number field.</w:t>
      </w:r>
    </w:p>
    <w:p>
      <w:pPr>
        <w:pStyle w:val="StepTitle"/>
      </w:pPr>
      <w:r>
        <w:t>Hand the device back to staff</w:t>
      </w:r>
    </w:p>
    <w:p>
      <w:r>
        <w:t>The confirmation tells the guest the information was saved. Staff can then hand the reset form to the next guest.</w:t>
      </w:r>
    </w:p>
    <w:p>
      <w:pPr>
        <w:pStyle w:val="Heading1"/>
        <w:keepNext/>
      </w:pPr>
      <w:r>
        <w:t>5. What the form collects</w:t>
      </w:r>
    </w:p>
    <w:tbl>
      <w:tblPr>
        <w:tblStyle w:val="TableGrid"/>
        <w:tblW w:type="dxa" w:w="9360"/>
        <w:tblLayout w:type="fixed"/>
        <w:tblLook w:firstColumn="1" w:firstRow="1" w:lastColumn="0" w:lastRow="0" w:noHBand="0" w:noVBand="1" w:val="04A0"/>
        <w:tblInd w:w="120" w:type="dxa"/>
      </w:tblPr>
      <w:tblGrid>
        <w:gridCol w:w="2500"/>
        <w:gridCol w:w="2200"/>
        <w:gridCol w:w="4660"/>
      </w:tblGrid>
      <w:tr>
        <w:trPr>
          <w:tblHeader w:val="true"/>
          <w:cantSplit w:val="true"/>
        </w:trPr>
        <w:tc>
          <w:tcPr>
            <w:tcW w:type="dxa" w:w="2500"/>
            <w:shd w:fill="2E74B5"/>
            <w:tcMar>
              <w:top w:w="100" w:type="dxa"/>
              <w:start w:w="120" w:type="dxa"/>
              <w:bottom w:w="100" w:type="dxa"/>
              <w:end w:w="120" w:type="dxa"/>
            </w:tcMar>
            <w:vAlign w:val="center"/>
          </w:tcPr>
          <w:p>
            <w:pPr>
              <w:spacing w:after="40" w:line="276" w:lineRule="auto"/>
            </w:pPr>
            <w:r>
              <w:rPr>
                <w:rFonts w:ascii="Calibri" w:hAnsi="Calibri"/>
                <w:b/>
                <w:color w:val="FFFFFF"/>
                <w:sz w:val="19"/>
              </w:rPr>
              <w:t>Field</w:t>
            </w:r>
          </w:p>
        </w:tc>
        <w:tc>
          <w:tcPr>
            <w:tcW w:type="dxa" w:w="2200"/>
            <w:shd w:fill="2E74B5"/>
            <w:tcMar>
              <w:top w:w="100" w:type="dxa"/>
              <w:start w:w="120" w:type="dxa"/>
              <w:bottom w:w="100" w:type="dxa"/>
              <w:end w:w="120" w:type="dxa"/>
            </w:tcMar>
            <w:vAlign w:val="center"/>
          </w:tcPr>
          <w:p>
            <w:pPr>
              <w:spacing w:after="40" w:line="276" w:lineRule="auto"/>
            </w:pPr>
            <w:r>
              <w:rPr>
                <w:rFonts w:ascii="Calibri" w:hAnsi="Calibri"/>
                <w:b/>
                <w:color w:val="FFFFFF"/>
                <w:sz w:val="19"/>
              </w:rPr>
              <w:t>Status</w:t>
            </w:r>
          </w:p>
        </w:tc>
        <w:tc>
          <w:tcPr>
            <w:tcW w:type="dxa" w:w="4660"/>
            <w:shd w:fill="2E74B5"/>
            <w:tcMar>
              <w:top w:w="100" w:type="dxa"/>
              <w:start w:w="120" w:type="dxa"/>
              <w:bottom w:w="100" w:type="dxa"/>
              <w:end w:w="120" w:type="dxa"/>
            </w:tcMar>
            <w:vAlign w:val="center"/>
          </w:tcPr>
          <w:p>
            <w:pPr>
              <w:spacing w:after="40" w:line="276" w:lineRule="auto"/>
            </w:pPr>
            <w:r>
              <w:rPr>
                <w:rFonts w:ascii="Calibri" w:hAnsi="Calibri"/>
                <w:b/>
                <w:color w:val="FFFFFF"/>
                <w:sz w:val="19"/>
              </w:rPr>
              <w:t>Purpose</w:t>
            </w:r>
          </w:p>
        </w:tc>
      </w:tr>
      <w:tr>
        <w:trPr>
          <w:cantSplit w:val="true"/>
        </w:trPr>
        <w:tc>
          <w:tcPr>
            <w:tcW w:type="dxa" w:w="2500"/>
            <w:tcMar>
              <w:top w:w="100" w:type="dxa"/>
              <w:start w:w="120" w:type="dxa"/>
              <w:bottom w:w="100" w:type="dxa"/>
              <w:end w:w="120" w:type="dxa"/>
            </w:tcMar>
            <w:vAlign w:val="center"/>
          </w:tcPr>
          <w:p>
            <w:pPr>
              <w:spacing w:after="40" w:line="276" w:lineRule="auto"/>
            </w:pPr>
            <w:r>
              <w:rPr>
                <w:rFonts w:ascii="Calibri" w:hAnsi="Calibri"/>
                <w:b/>
                <w:sz w:val="19"/>
              </w:rPr>
              <w:t>Claim Check Number</w:t>
            </w:r>
          </w:p>
        </w:tc>
        <w:tc>
          <w:tcPr>
            <w:tcW w:type="dxa" w:w="2200"/>
            <w:tcMar>
              <w:top w:w="100" w:type="dxa"/>
              <w:start w:w="120" w:type="dxa"/>
              <w:bottom w:w="100" w:type="dxa"/>
              <w:end w:w="120" w:type="dxa"/>
            </w:tcMar>
            <w:vAlign w:val="center"/>
          </w:tcPr>
          <w:p>
            <w:pPr>
              <w:spacing w:after="40" w:line="276" w:lineRule="auto"/>
            </w:pPr>
            <w:r>
              <w:rPr>
                <w:rFonts w:ascii="Calibri" w:hAnsi="Calibri"/>
                <w:sz w:val="19"/>
              </w:rPr>
              <w:t>Required; must be unique</w:t>
            </w:r>
          </w:p>
        </w:tc>
        <w:tc>
          <w:tcPr>
            <w:tcW w:type="dxa" w:w="4660"/>
            <w:tcMar>
              <w:top w:w="100" w:type="dxa"/>
              <w:start w:w="120" w:type="dxa"/>
              <w:bottom w:w="100" w:type="dxa"/>
              <w:end w:w="120" w:type="dxa"/>
            </w:tcMar>
            <w:vAlign w:val="center"/>
          </w:tcPr>
          <w:p>
            <w:pPr>
              <w:spacing w:after="40" w:line="276" w:lineRule="auto"/>
            </w:pPr>
            <w:r>
              <w:rPr>
                <w:rFonts w:ascii="Calibri" w:hAnsi="Calibri"/>
                <w:sz w:val="19"/>
              </w:rPr>
              <w:t>Primary link between the bottle and recipient</w:t>
            </w:r>
          </w:p>
        </w:tc>
      </w:tr>
      <w:tr>
        <w:trPr>
          <w:cantSplit w:val="true"/>
        </w:trPr>
        <w:tc>
          <w:tcPr>
            <w:tcW w:type="dxa" w:w="2500"/>
            <w:tcMar>
              <w:top w:w="100" w:type="dxa"/>
              <w:start w:w="120" w:type="dxa"/>
              <w:bottom w:w="100" w:type="dxa"/>
              <w:end w:w="120" w:type="dxa"/>
            </w:tcMar>
            <w:vAlign w:val="center"/>
          </w:tcPr>
          <w:p>
            <w:pPr>
              <w:spacing w:after="40" w:line="276" w:lineRule="auto"/>
            </w:pPr>
            <w:r>
              <w:rPr>
                <w:rFonts w:ascii="Calibri" w:hAnsi="Calibri"/>
                <w:b/>
                <w:sz w:val="19"/>
              </w:rPr>
              <w:t>Name</w:t>
            </w:r>
          </w:p>
        </w:tc>
        <w:tc>
          <w:tcPr>
            <w:tcW w:type="dxa" w:w="2200"/>
            <w:tcMar>
              <w:top w:w="100" w:type="dxa"/>
              <w:start w:w="120" w:type="dxa"/>
              <w:bottom w:w="100" w:type="dxa"/>
              <w:end w:w="120" w:type="dxa"/>
            </w:tcMar>
            <w:vAlign w:val="center"/>
          </w:tcPr>
          <w:p>
            <w:pPr>
              <w:spacing w:after="40" w:line="276" w:lineRule="auto"/>
            </w:pPr>
            <w:r>
              <w:rPr>
                <w:rFonts w:ascii="Calibri" w:hAnsi="Calibri"/>
                <w:sz w:val="19"/>
              </w:rPr>
              <w:t>Required</w:t>
            </w:r>
          </w:p>
        </w:tc>
        <w:tc>
          <w:tcPr>
            <w:tcW w:type="dxa" w:w="4660"/>
            <w:tcMar>
              <w:top w:w="100" w:type="dxa"/>
              <w:start w:w="120" w:type="dxa"/>
              <w:bottom w:w="100" w:type="dxa"/>
              <w:end w:w="120" w:type="dxa"/>
            </w:tcMar>
            <w:vAlign w:val="center"/>
          </w:tcPr>
          <w:p>
            <w:pPr>
              <w:spacing w:after="40" w:line="276" w:lineRule="auto"/>
            </w:pPr>
            <w:r>
              <w:rPr>
                <w:rFonts w:ascii="Calibri" w:hAnsi="Calibri"/>
                <w:sz w:val="19"/>
              </w:rPr>
              <w:t>Recipient/contact name; a single full-name field</w:t>
            </w:r>
          </w:p>
        </w:tc>
      </w:tr>
      <w:tr>
        <w:trPr>
          <w:cantSplit w:val="true"/>
        </w:trPr>
        <w:tc>
          <w:tcPr>
            <w:tcW w:type="dxa" w:w="2500"/>
            <w:tcMar>
              <w:top w:w="100" w:type="dxa"/>
              <w:start w:w="120" w:type="dxa"/>
              <w:bottom w:w="100" w:type="dxa"/>
              <w:end w:w="120" w:type="dxa"/>
            </w:tcMar>
            <w:vAlign w:val="center"/>
          </w:tcPr>
          <w:p>
            <w:pPr>
              <w:spacing w:after="40" w:line="276" w:lineRule="auto"/>
            </w:pPr>
            <w:r>
              <w:rPr>
                <w:rFonts w:ascii="Calibri" w:hAnsi="Calibri"/>
                <w:b/>
                <w:sz w:val="19"/>
              </w:rPr>
              <w:t>Company</w:t>
            </w:r>
          </w:p>
        </w:tc>
        <w:tc>
          <w:tcPr>
            <w:tcW w:type="dxa" w:w="2200"/>
            <w:tcMar>
              <w:top w:w="100" w:type="dxa"/>
              <w:start w:w="120" w:type="dxa"/>
              <w:bottom w:w="100" w:type="dxa"/>
              <w:end w:w="120" w:type="dxa"/>
            </w:tcMar>
            <w:vAlign w:val="center"/>
          </w:tcPr>
          <w:p>
            <w:pPr>
              <w:spacing w:after="40" w:line="276" w:lineRule="auto"/>
            </w:pPr>
            <w:r>
              <w:rPr>
                <w:rFonts w:ascii="Calibri" w:hAnsi="Calibri"/>
                <w:sz w:val="19"/>
              </w:rPr>
              <w:t>Optional</w:t>
            </w:r>
          </w:p>
        </w:tc>
        <w:tc>
          <w:tcPr>
            <w:tcW w:type="dxa" w:w="4660"/>
            <w:tcMar>
              <w:top w:w="100" w:type="dxa"/>
              <w:start w:w="120" w:type="dxa"/>
              <w:bottom w:w="100" w:type="dxa"/>
              <w:end w:w="120" w:type="dxa"/>
            </w:tcMar>
            <w:vAlign w:val="center"/>
          </w:tcPr>
          <w:p>
            <w:pPr>
              <w:spacing w:after="40" w:line="276" w:lineRule="auto"/>
            </w:pPr>
            <w:r>
              <w:rPr>
                <w:rFonts w:ascii="Calibri" w:hAnsi="Calibri"/>
                <w:sz w:val="19"/>
              </w:rPr>
              <w:t>Useful for corporate events, but not required</w:t>
            </w:r>
          </w:p>
        </w:tc>
      </w:tr>
      <w:tr>
        <w:trPr>
          <w:cantSplit w:val="true"/>
        </w:trPr>
        <w:tc>
          <w:tcPr>
            <w:tcW w:type="dxa" w:w="2500"/>
            <w:tcMar>
              <w:top w:w="100" w:type="dxa"/>
              <w:start w:w="120" w:type="dxa"/>
              <w:bottom w:w="100" w:type="dxa"/>
              <w:end w:w="120" w:type="dxa"/>
            </w:tcMar>
            <w:vAlign w:val="center"/>
          </w:tcPr>
          <w:p>
            <w:pPr>
              <w:spacing w:after="40" w:line="276" w:lineRule="auto"/>
            </w:pPr>
            <w:r>
              <w:rPr>
                <w:rFonts w:ascii="Calibri" w:hAnsi="Calibri"/>
                <w:b/>
                <w:sz w:val="19"/>
              </w:rPr>
              <w:t>Address Line 1</w:t>
            </w:r>
          </w:p>
        </w:tc>
        <w:tc>
          <w:tcPr>
            <w:tcW w:type="dxa" w:w="2200"/>
            <w:tcMar>
              <w:top w:w="100" w:type="dxa"/>
              <w:start w:w="120" w:type="dxa"/>
              <w:bottom w:w="100" w:type="dxa"/>
              <w:end w:w="120" w:type="dxa"/>
            </w:tcMar>
            <w:vAlign w:val="center"/>
          </w:tcPr>
          <w:p>
            <w:pPr>
              <w:spacing w:after="40" w:line="276" w:lineRule="auto"/>
            </w:pPr>
            <w:r>
              <w:rPr>
                <w:rFonts w:ascii="Calibri" w:hAnsi="Calibri"/>
                <w:sz w:val="19"/>
              </w:rPr>
              <w:t>Required</w:t>
            </w:r>
          </w:p>
        </w:tc>
        <w:tc>
          <w:tcPr>
            <w:tcW w:type="dxa" w:w="4660"/>
            <w:tcMar>
              <w:top w:w="100" w:type="dxa"/>
              <w:start w:w="120" w:type="dxa"/>
              <w:bottom w:w="100" w:type="dxa"/>
              <w:end w:w="120" w:type="dxa"/>
            </w:tcMar>
            <w:vAlign w:val="center"/>
          </w:tcPr>
          <w:p>
            <w:pPr>
              <w:spacing w:after="40" w:line="276" w:lineRule="auto"/>
            </w:pPr>
            <w:r>
              <w:rPr>
                <w:rFonts w:ascii="Calibri" w:hAnsi="Calibri"/>
                <w:sz w:val="19"/>
              </w:rPr>
              <w:t>Street address</w:t>
            </w:r>
          </w:p>
        </w:tc>
      </w:tr>
      <w:tr>
        <w:trPr>
          <w:cantSplit w:val="true"/>
        </w:trPr>
        <w:tc>
          <w:tcPr>
            <w:tcW w:type="dxa" w:w="2500"/>
            <w:tcMar>
              <w:top w:w="100" w:type="dxa"/>
              <w:start w:w="120" w:type="dxa"/>
              <w:bottom w:w="100" w:type="dxa"/>
              <w:end w:w="120" w:type="dxa"/>
            </w:tcMar>
            <w:vAlign w:val="center"/>
          </w:tcPr>
          <w:p>
            <w:pPr>
              <w:spacing w:after="40" w:line="276" w:lineRule="auto"/>
            </w:pPr>
            <w:r>
              <w:rPr>
                <w:rFonts w:ascii="Calibri" w:hAnsi="Calibri"/>
                <w:b/>
                <w:sz w:val="19"/>
              </w:rPr>
              <w:t>Address Line 2</w:t>
            </w:r>
          </w:p>
        </w:tc>
        <w:tc>
          <w:tcPr>
            <w:tcW w:type="dxa" w:w="2200"/>
            <w:tcMar>
              <w:top w:w="100" w:type="dxa"/>
              <w:start w:w="120" w:type="dxa"/>
              <w:bottom w:w="100" w:type="dxa"/>
              <w:end w:w="120" w:type="dxa"/>
            </w:tcMar>
            <w:vAlign w:val="center"/>
          </w:tcPr>
          <w:p>
            <w:pPr>
              <w:spacing w:after="40" w:line="276" w:lineRule="auto"/>
            </w:pPr>
            <w:r>
              <w:rPr>
                <w:rFonts w:ascii="Calibri" w:hAnsi="Calibri"/>
                <w:sz w:val="19"/>
              </w:rPr>
              <w:t>Optional</w:t>
            </w:r>
          </w:p>
        </w:tc>
        <w:tc>
          <w:tcPr>
            <w:tcW w:type="dxa" w:w="4660"/>
            <w:tcMar>
              <w:top w:w="100" w:type="dxa"/>
              <w:start w:w="120" w:type="dxa"/>
              <w:bottom w:w="100" w:type="dxa"/>
              <w:end w:w="120" w:type="dxa"/>
            </w:tcMar>
            <w:vAlign w:val="center"/>
          </w:tcPr>
          <w:p>
            <w:pPr>
              <w:spacing w:after="40" w:line="276" w:lineRule="auto"/>
            </w:pPr>
            <w:r>
              <w:rPr>
                <w:rFonts w:ascii="Calibri" w:hAnsi="Calibri"/>
                <w:sz w:val="19"/>
              </w:rPr>
              <w:t>Apartment, suite, floor, etc.</w:t>
            </w:r>
          </w:p>
        </w:tc>
      </w:tr>
      <w:tr>
        <w:trPr>
          <w:cantSplit w:val="true"/>
        </w:trPr>
        <w:tc>
          <w:tcPr>
            <w:tcW w:type="dxa" w:w="2500"/>
            <w:tcMar>
              <w:top w:w="100" w:type="dxa"/>
              <w:start w:w="120" w:type="dxa"/>
              <w:bottom w:w="100" w:type="dxa"/>
              <w:end w:w="120" w:type="dxa"/>
            </w:tcMar>
            <w:vAlign w:val="center"/>
          </w:tcPr>
          <w:p>
            <w:pPr>
              <w:spacing w:after="40" w:line="276" w:lineRule="auto"/>
            </w:pPr>
            <w:r>
              <w:rPr>
                <w:rFonts w:ascii="Calibri" w:hAnsi="Calibri"/>
                <w:b/>
                <w:sz w:val="19"/>
              </w:rPr>
              <w:t>City / State / ZIP</w:t>
            </w:r>
          </w:p>
        </w:tc>
        <w:tc>
          <w:tcPr>
            <w:tcW w:type="dxa" w:w="2200"/>
            <w:tcMar>
              <w:top w:w="100" w:type="dxa"/>
              <w:start w:w="120" w:type="dxa"/>
              <w:bottom w:w="100" w:type="dxa"/>
              <w:end w:w="120" w:type="dxa"/>
            </w:tcMar>
            <w:vAlign w:val="center"/>
          </w:tcPr>
          <w:p>
            <w:pPr>
              <w:spacing w:after="40" w:line="276" w:lineRule="auto"/>
            </w:pPr>
            <w:r>
              <w:rPr>
                <w:rFonts w:ascii="Calibri" w:hAnsi="Calibri"/>
                <w:sz w:val="19"/>
              </w:rPr>
              <w:t>Required</w:t>
            </w:r>
          </w:p>
        </w:tc>
        <w:tc>
          <w:tcPr>
            <w:tcW w:type="dxa" w:w="4660"/>
            <w:tcMar>
              <w:top w:w="100" w:type="dxa"/>
              <w:start w:w="120" w:type="dxa"/>
              <w:bottom w:w="100" w:type="dxa"/>
              <w:end w:w="120" w:type="dxa"/>
            </w:tcMar>
            <w:vAlign w:val="center"/>
          </w:tcPr>
          <w:p>
            <w:pPr>
              <w:spacing w:after="40" w:line="276" w:lineRule="auto"/>
            </w:pPr>
            <w:r>
              <w:rPr>
                <w:rFonts w:ascii="Calibri" w:hAnsi="Calibri"/>
                <w:sz w:val="19"/>
              </w:rPr>
              <w:t>Stored and exported as separate columns</w:t>
            </w:r>
          </w:p>
        </w:tc>
      </w:tr>
      <w:tr>
        <w:trPr>
          <w:cantSplit w:val="true"/>
        </w:trPr>
        <w:tc>
          <w:tcPr>
            <w:tcW w:type="dxa" w:w="2500"/>
            <w:tcMar>
              <w:top w:w="100" w:type="dxa"/>
              <w:start w:w="120" w:type="dxa"/>
              <w:bottom w:w="100" w:type="dxa"/>
              <w:end w:w="120" w:type="dxa"/>
            </w:tcMar>
            <w:vAlign w:val="center"/>
          </w:tcPr>
          <w:p>
            <w:pPr>
              <w:spacing w:after="40" w:line="276" w:lineRule="auto"/>
            </w:pPr>
            <w:r>
              <w:rPr>
                <w:rFonts w:ascii="Calibri" w:hAnsi="Calibri"/>
                <w:b/>
                <w:sz w:val="19"/>
              </w:rPr>
              <w:t>Email</w:t>
            </w:r>
          </w:p>
        </w:tc>
        <w:tc>
          <w:tcPr>
            <w:tcW w:type="dxa" w:w="2200"/>
            <w:tcMar>
              <w:top w:w="100" w:type="dxa"/>
              <w:start w:w="120" w:type="dxa"/>
              <w:bottom w:w="100" w:type="dxa"/>
              <w:end w:w="120" w:type="dxa"/>
            </w:tcMar>
            <w:vAlign w:val="center"/>
          </w:tcPr>
          <w:p>
            <w:pPr>
              <w:spacing w:after="40" w:line="276" w:lineRule="auto"/>
            </w:pPr>
            <w:r>
              <w:rPr>
                <w:rFonts w:ascii="Calibri" w:hAnsi="Calibri"/>
                <w:sz w:val="19"/>
              </w:rPr>
              <w:t>Required</w:t>
            </w:r>
          </w:p>
        </w:tc>
        <w:tc>
          <w:tcPr>
            <w:tcW w:type="dxa" w:w="4660"/>
            <w:tcMar>
              <w:top w:w="100" w:type="dxa"/>
              <w:start w:w="120" w:type="dxa"/>
              <w:bottom w:w="100" w:type="dxa"/>
              <w:end w:w="120" w:type="dxa"/>
            </w:tcMar>
            <w:vAlign w:val="center"/>
          </w:tcPr>
          <w:p>
            <w:pPr>
              <w:spacing w:after="40" w:line="276" w:lineRule="auto"/>
            </w:pPr>
            <w:r>
              <w:rPr>
                <w:rFonts w:ascii="Calibri" w:hAnsi="Calibri"/>
                <w:sz w:val="19"/>
              </w:rPr>
              <w:t>Guest confirmation and shipment contact</w:t>
            </w:r>
          </w:p>
        </w:tc>
      </w:tr>
      <w:tr>
        <w:trPr>
          <w:cantSplit w:val="true"/>
        </w:trPr>
        <w:tc>
          <w:tcPr>
            <w:tcW w:type="dxa" w:w="2500"/>
            <w:tcMar>
              <w:top w:w="100" w:type="dxa"/>
              <w:start w:w="120" w:type="dxa"/>
              <w:bottom w:w="100" w:type="dxa"/>
              <w:end w:w="120" w:type="dxa"/>
            </w:tcMar>
            <w:vAlign w:val="center"/>
          </w:tcPr>
          <w:p>
            <w:pPr>
              <w:spacing w:after="40" w:line="276" w:lineRule="auto"/>
            </w:pPr>
            <w:r>
              <w:rPr>
                <w:rFonts w:ascii="Calibri" w:hAnsi="Calibri"/>
                <w:b/>
                <w:sz w:val="19"/>
              </w:rPr>
              <w:t>Phone</w:t>
            </w:r>
          </w:p>
        </w:tc>
        <w:tc>
          <w:tcPr>
            <w:tcW w:type="dxa" w:w="2200"/>
            <w:tcMar>
              <w:top w:w="100" w:type="dxa"/>
              <w:start w:w="120" w:type="dxa"/>
              <w:bottom w:w="100" w:type="dxa"/>
              <w:end w:w="120" w:type="dxa"/>
            </w:tcMar>
            <w:vAlign w:val="center"/>
          </w:tcPr>
          <w:p>
            <w:pPr>
              <w:spacing w:after="40" w:line="276" w:lineRule="auto"/>
            </w:pPr>
            <w:r>
              <w:rPr>
                <w:rFonts w:ascii="Calibri" w:hAnsi="Calibri"/>
                <w:sz w:val="19"/>
              </w:rPr>
              <w:t>Required</w:t>
            </w:r>
          </w:p>
        </w:tc>
        <w:tc>
          <w:tcPr>
            <w:tcW w:type="dxa" w:w="4660"/>
            <w:tcMar>
              <w:top w:w="100" w:type="dxa"/>
              <w:start w:w="120" w:type="dxa"/>
              <w:bottom w:w="100" w:type="dxa"/>
              <w:end w:w="120" w:type="dxa"/>
            </w:tcMar>
            <w:vAlign w:val="center"/>
          </w:tcPr>
          <w:p>
            <w:pPr>
              <w:spacing w:after="40" w:line="276" w:lineRule="auto"/>
            </w:pPr>
            <w:r>
              <w:rPr>
                <w:rFonts w:ascii="Calibri" w:hAnsi="Calibri"/>
                <w:sz w:val="19"/>
              </w:rPr>
              <w:t>Carrier/shipment contact</w:t>
            </w:r>
          </w:p>
        </w:tc>
      </w:tr>
      <w:tr>
        <w:trPr>
          <w:cantSplit w:val="true"/>
        </w:trPr>
        <w:tc>
          <w:tcPr>
            <w:tcW w:type="dxa" w:w="2500"/>
            <w:tcMar>
              <w:top w:w="100" w:type="dxa"/>
              <w:start w:w="120" w:type="dxa"/>
              <w:bottom w:w="100" w:type="dxa"/>
              <w:end w:w="120" w:type="dxa"/>
            </w:tcMar>
            <w:vAlign w:val="center"/>
          </w:tcPr>
          <w:p>
            <w:pPr>
              <w:spacing w:after="40" w:line="276" w:lineRule="auto"/>
            </w:pPr>
            <w:r>
              <w:rPr>
                <w:rFonts w:ascii="Calibri" w:hAnsi="Calibri"/>
                <w:b/>
                <w:sz w:val="19"/>
              </w:rPr>
              <w:t>Shipping confirmation</w:t>
            </w:r>
          </w:p>
        </w:tc>
        <w:tc>
          <w:tcPr>
            <w:tcW w:type="dxa" w:w="2200"/>
            <w:tcMar>
              <w:top w:w="100" w:type="dxa"/>
              <w:start w:w="120" w:type="dxa"/>
              <w:bottom w:w="100" w:type="dxa"/>
              <w:end w:w="120" w:type="dxa"/>
            </w:tcMar>
            <w:vAlign w:val="center"/>
          </w:tcPr>
          <w:p>
            <w:pPr>
              <w:spacing w:after="40" w:line="276" w:lineRule="auto"/>
            </w:pPr>
            <w:r>
              <w:rPr>
                <w:rFonts w:ascii="Calibri" w:hAnsi="Calibri"/>
                <w:sz w:val="19"/>
              </w:rPr>
              <w:t>Required</w:t>
            </w:r>
          </w:p>
        </w:tc>
        <w:tc>
          <w:tcPr>
            <w:tcW w:type="dxa" w:w="4660"/>
            <w:tcMar>
              <w:top w:w="100" w:type="dxa"/>
              <w:start w:w="120" w:type="dxa"/>
              <w:bottom w:w="100" w:type="dxa"/>
              <w:end w:w="120" w:type="dxa"/>
            </w:tcMar>
            <w:vAlign w:val="center"/>
          </w:tcPr>
          <w:p>
            <w:pPr>
              <w:spacing w:after="40" w:line="276" w:lineRule="auto"/>
            </w:pPr>
            <w:r>
              <w:rPr>
                <w:rFonts w:ascii="Calibri" w:hAnsi="Calibri"/>
                <w:sz w:val="19"/>
              </w:rPr>
              <w:t>Guest confirms the address is correct</w:t>
            </w:r>
          </w:p>
        </w:tc>
      </w:tr>
      <w:tr>
        <w:trPr>
          <w:cantSplit w:val="true"/>
        </w:trPr>
        <w:tc>
          <w:tcPr>
            <w:tcW w:type="dxa" w:w="2500"/>
            <w:tcMar>
              <w:top w:w="100" w:type="dxa"/>
              <w:start w:w="120" w:type="dxa"/>
              <w:bottom w:w="100" w:type="dxa"/>
              <w:end w:w="120" w:type="dxa"/>
            </w:tcMar>
            <w:vAlign w:val="center"/>
          </w:tcPr>
          <w:p>
            <w:pPr>
              <w:spacing w:after="40" w:line="276" w:lineRule="auto"/>
            </w:pPr>
            <w:r>
              <w:rPr>
                <w:rFonts w:ascii="Calibri" w:hAnsi="Calibri"/>
                <w:b/>
                <w:sz w:val="19"/>
              </w:rPr>
              <w:t>Age/adult signature</w:t>
            </w:r>
          </w:p>
        </w:tc>
        <w:tc>
          <w:tcPr>
            <w:tcW w:type="dxa" w:w="2200"/>
            <w:tcMar>
              <w:top w:w="100" w:type="dxa"/>
              <w:start w:w="120" w:type="dxa"/>
              <w:bottom w:w="100" w:type="dxa"/>
              <w:end w:w="120" w:type="dxa"/>
            </w:tcMar>
            <w:vAlign w:val="center"/>
          </w:tcPr>
          <w:p>
            <w:pPr>
              <w:spacing w:after="40" w:line="276" w:lineRule="auto"/>
            </w:pPr>
            <w:r>
              <w:rPr>
                <w:rFonts w:ascii="Calibri" w:hAnsi="Calibri"/>
                <w:sz w:val="19"/>
              </w:rPr>
              <w:t>Required</w:t>
            </w:r>
          </w:p>
        </w:tc>
        <w:tc>
          <w:tcPr>
            <w:tcW w:type="dxa" w:w="4660"/>
            <w:tcMar>
              <w:top w:w="100" w:type="dxa"/>
              <w:start w:w="120" w:type="dxa"/>
              <w:bottom w:w="100" w:type="dxa"/>
              <w:end w:w="120" w:type="dxa"/>
            </w:tcMar>
            <w:vAlign w:val="center"/>
          </w:tcPr>
          <w:p>
            <w:pPr>
              <w:spacing w:after="40" w:line="276" w:lineRule="auto"/>
            </w:pPr>
            <w:r>
              <w:rPr>
                <w:rFonts w:ascii="Calibri" w:hAnsi="Calibri"/>
                <w:sz w:val="19"/>
              </w:rPr>
              <w:t>Guest acknowledges 21+ adult signature at delivery</w:t>
            </w:r>
          </w:p>
        </w:tc>
      </w:tr>
    </w:tbl>
    <w:p>
      <w:pPr>
        <w:pStyle w:val="Heading1"/>
        <w:keepNext/>
      </w:pPr>
      <w:r>
        <w:t>6. Exporting an event to Excel</w:t>
      </w:r>
    </w:p>
    <w:p>
      <w:pPr>
        <w:pStyle w:val="ListNumber"/>
      </w:pPr>
      <w:r>
        <w:t>Log in to WordPress and open Tools → Bottle Check-In CSV.</w:t>
      </w:r>
    </w:p>
    <w:p>
      <w:pPr>
        <w:pStyle w:val="ListNumber"/>
      </w:pPr>
      <w:r>
        <w:t>Select the completed event from the event filter. Do not choose “All” when preparing fulfillment unless you intentionally need multiple events.</w:t>
      </w:r>
    </w:p>
    <w:p>
      <w:pPr>
        <w:pStyle w:val="ListNumber"/>
      </w:pPr>
      <w:r>
        <w:t>Review the event label and submission count before downloading.</w:t>
      </w:r>
    </w:p>
    <w:p>
      <w:pPr>
        <w:pStyle w:val="ListNumber"/>
      </w:pPr>
      <w:r>
        <w:t>Click the custom CSV export button. This exporter is separate from Fluent Forms’ free JSON export.</w:t>
      </w:r>
    </w:p>
    <w:p>
      <w:pPr>
        <w:pStyle w:val="ListNumber"/>
      </w:pPr>
      <w:r>
        <w:t>Open the downloaded .csv file in Excel. Save a working copy as .xlsx if you want filters, formatting, notes, or formulas.</w:t>
      </w:r>
    </w:p>
    <w:p>
      <w:pPr>
        <w:pStyle w:val="ListNumber"/>
      </w:pPr>
      <w:r>
        <w:t>Confirm the claim-check count matches the physical bottle count before fulfillment begins.</w:t>
      </w:r>
    </w:p>
    <w:p>
      <w:pPr>
        <w:pStyle w:val="Heading2"/>
        <w:keepNext/>
      </w:pPr>
      <w:r>
        <w:t>Expected CSV columns</w:t>
      </w:r>
    </w:p>
    <w:p>
      <w:r>
        <w:t>The custom exporter keeps address data separated for sorting, carrier upload preparation, and quality control. Expected columns include Claim Check Number, Name, Company, Address Line 1, Address Line 2, City, State, ZIP Code, Email, Phone Number, the two acknowledgments, event information, and submission metadata.</w:t>
      </w:r>
    </w:p>
    <w:p>
      <w:pPr>
        <w:pStyle w:val="Heading1"/>
        <w:keepNext/>
      </w:pPr>
      <w:r>
        <w:t>7. Keeping events separated</w:t>
      </w:r>
    </w:p>
    <w:p>
      <w:r>
        <w:t>Do not clear or delete the form between events. Separation is handled by the event record stamped onto each submission. This preserves history while keeping each export manageable.</w:t>
      </w:r>
    </w:p>
    <w:p>
      <w:pPr>
        <w:pStyle w:val="ListBullet"/>
      </w:pPr>
      <w:r>
        <w:t>Always create the event before guests begin submitting.</w:t>
      </w:r>
    </w:p>
    <w:p>
      <w:pPr>
        <w:pStyle w:val="ListBullet"/>
      </w:pPr>
      <w:r>
        <w:t>Always verify the event banner on the public page.</w:t>
      </w:r>
    </w:p>
    <w:p>
      <w:pPr>
        <w:pStyle w:val="ListBullet"/>
      </w:pPr>
      <w:r>
        <w:t>Export by the specific event label—not the full lifetime submission list.</w:t>
      </w:r>
    </w:p>
    <w:p>
      <w:pPr>
        <w:pStyle w:val="ListBullet"/>
      </w:pPr>
      <w:r>
        <w:t>Use Legacy/Unassigned only for older submissions created before event tagging was added or for troubleshooting.</w:t>
      </w:r>
    </w:p>
    <w:p>
      <w:pPr>
        <w:pStyle w:val="ListBullet"/>
      </w:pPr>
      <w:r>
        <w:t>Avoid overlapping event windows. The current implementation assumes one active event.</w:t>
      </w:r>
    </w:p>
    <w:p>
      <w:pPr>
        <w:pStyle w:val="ListBullet"/>
      </w:pPr>
      <w:r>
        <w:t>Do not delete legitimate submissions after fulfillment; retain them according to the company’s customer-data policy.</w:t>
      </w:r>
    </w:p>
    <w:p>
      <w:pPr>
        <w:pStyle w:val="Heading1"/>
        <w:keepNext/>
      </w:pPr>
      <w:r>
        <w:t>8. End-of-event closeout</w:t>
      </w:r>
    </w:p>
    <w:p>
      <w:pPr>
        <w:pStyle w:val="ListBullet"/>
      </w:pPr>
      <w:r>
        <w:t>Compare the number of checked-in bottles with the number of event submissions.</w:t>
      </w:r>
    </w:p>
    <w:p>
      <w:pPr>
        <w:pStyle w:val="ListBullet"/>
      </w:pPr>
      <w:r>
        <w:t>Export the event CSV and save a working copy in the event’s secure operations folder.</w:t>
      </w:r>
    </w:p>
    <w:p>
      <w:pPr>
        <w:pStyle w:val="ListBullet"/>
      </w:pPr>
      <w:r>
        <w:t>Spot-check several bottles against claim-check number, guest name, and address.</w:t>
      </w:r>
    </w:p>
    <w:p>
      <w:pPr>
        <w:pStyle w:val="ListBullet"/>
      </w:pPr>
      <w:r>
        <w:t>Resolve duplicates, missing bottles, or missing submissions before packing begins.</w:t>
      </w:r>
    </w:p>
    <w:p>
      <w:pPr>
        <w:pStyle w:val="ListBullet"/>
      </w:pPr>
      <w:r>
        <w:t>Let the event window expire or adjust its end time if it was entered incorrectly.</w:t>
      </w:r>
    </w:p>
    <w:p>
      <w:pPr>
        <w:pStyle w:val="ListBullet"/>
      </w:pPr>
      <w:r>
        <w:t>Confirm the public page is locked after there is no active event.</w:t>
      </w:r>
    </w:p>
    <w:p>
      <w:pPr>
        <w:pStyle w:val="Heading1"/>
        <w:keepNext/>
      </w:pPr>
      <w:r>
        <w:t>9. Troubleshooting</w:t>
      </w:r>
    </w:p>
    <w:tbl>
      <w:tblPr>
        <w:tblStyle w:val="TableGrid"/>
        <w:tblW w:type="dxa" w:w="9360"/>
        <w:tblLayout w:type="fixed"/>
        <w:tblLook w:firstColumn="1" w:firstRow="1" w:lastColumn="0" w:lastRow="0" w:noHBand="0" w:noVBand="1" w:val="04A0"/>
        <w:tblInd w:w="120" w:type="dxa"/>
      </w:tblPr>
      <w:tblGrid>
        <w:gridCol w:w="2600"/>
        <w:gridCol w:w="2800"/>
        <w:gridCol w:w="3960"/>
      </w:tblGrid>
      <w:tr>
        <w:trPr>
          <w:tblHeader w:val="true"/>
          <w:cantSplit w:val="true"/>
        </w:trPr>
        <w:tc>
          <w:tcPr>
            <w:tcW w:type="dxa" w:w="2600"/>
            <w:shd w:fill="2E74B5"/>
            <w:tcMar>
              <w:top w:w="100" w:type="dxa"/>
              <w:start w:w="120" w:type="dxa"/>
              <w:bottom w:w="100" w:type="dxa"/>
              <w:end w:w="120" w:type="dxa"/>
            </w:tcMar>
            <w:vAlign w:val="center"/>
          </w:tcPr>
          <w:p>
            <w:pPr>
              <w:spacing w:after="40" w:line="276" w:lineRule="auto"/>
            </w:pPr>
            <w:r>
              <w:rPr>
                <w:rFonts w:ascii="Calibri" w:hAnsi="Calibri"/>
                <w:b/>
                <w:color w:val="FFFFFF"/>
                <w:sz w:val="19"/>
              </w:rPr>
              <w:t>Symptom</w:t>
            </w:r>
          </w:p>
        </w:tc>
        <w:tc>
          <w:tcPr>
            <w:tcW w:type="dxa" w:w="2800"/>
            <w:shd w:fill="2E74B5"/>
            <w:tcMar>
              <w:top w:w="100" w:type="dxa"/>
              <w:start w:w="120" w:type="dxa"/>
              <w:bottom w:w="100" w:type="dxa"/>
              <w:end w:w="120" w:type="dxa"/>
            </w:tcMar>
            <w:vAlign w:val="center"/>
          </w:tcPr>
          <w:p>
            <w:pPr>
              <w:spacing w:after="40" w:line="276" w:lineRule="auto"/>
            </w:pPr>
            <w:r>
              <w:rPr>
                <w:rFonts w:ascii="Calibri" w:hAnsi="Calibri"/>
                <w:b/>
                <w:color w:val="FFFFFF"/>
                <w:sz w:val="19"/>
              </w:rPr>
              <w:t>Likely cause</w:t>
            </w:r>
          </w:p>
        </w:tc>
        <w:tc>
          <w:tcPr>
            <w:tcW w:type="dxa" w:w="3960"/>
            <w:shd w:fill="2E74B5"/>
            <w:tcMar>
              <w:top w:w="100" w:type="dxa"/>
              <w:start w:w="120" w:type="dxa"/>
              <w:bottom w:w="100" w:type="dxa"/>
              <w:end w:w="120" w:type="dxa"/>
            </w:tcMar>
            <w:vAlign w:val="center"/>
          </w:tcPr>
          <w:p>
            <w:pPr>
              <w:spacing w:after="40" w:line="276" w:lineRule="auto"/>
            </w:pPr>
            <w:r>
              <w:rPr>
                <w:rFonts w:ascii="Calibri" w:hAnsi="Calibri"/>
                <w:b/>
                <w:color w:val="FFFFFF"/>
                <w:sz w:val="19"/>
              </w:rPr>
              <w:t>What to do</w:t>
            </w:r>
          </w:p>
        </w:tc>
      </w:tr>
      <w:tr>
        <w:trPr>
          <w:cantSplit w:val="true"/>
        </w:trPr>
        <w:tc>
          <w:tcPr>
            <w:tcW w:type="dxa" w:w="2600"/>
            <w:tcMar>
              <w:top w:w="100" w:type="dxa"/>
              <w:start w:w="120" w:type="dxa"/>
              <w:bottom w:w="100" w:type="dxa"/>
              <w:end w:w="120" w:type="dxa"/>
            </w:tcMar>
            <w:vAlign w:val="center"/>
          </w:tcPr>
          <w:p>
            <w:pPr>
              <w:spacing w:after="40" w:line="276" w:lineRule="auto"/>
            </w:pPr>
            <w:r>
              <w:rPr>
                <w:rFonts w:ascii="Calibri" w:hAnsi="Calibri"/>
                <w:b/>
                <w:sz w:val="19"/>
              </w:rPr>
              <w:t>Form will not load or says no current event</w:t>
            </w:r>
          </w:p>
        </w:tc>
        <w:tc>
          <w:tcPr>
            <w:tcW w:type="dxa" w:w="2800"/>
            <w:tcMar>
              <w:top w:w="100" w:type="dxa"/>
              <w:start w:w="120" w:type="dxa"/>
              <w:bottom w:w="100" w:type="dxa"/>
              <w:end w:w="120" w:type="dxa"/>
            </w:tcMar>
            <w:vAlign w:val="center"/>
          </w:tcPr>
          <w:p>
            <w:pPr>
              <w:spacing w:after="40" w:line="276" w:lineRule="auto"/>
            </w:pPr>
            <w:r>
              <w:rPr>
                <w:rFonts w:ascii="Calibri" w:hAnsi="Calibri"/>
                <w:sz w:val="19"/>
              </w:rPr>
              <w:t>No event is currently active, the start/end time is wrong, or the page is cached.</w:t>
            </w:r>
          </w:p>
        </w:tc>
        <w:tc>
          <w:tcPr>
            <w:tcW w:type="dxa" w:w="3960"/>
            <w:tcMar>
              <w:top w:w="100" w:type="dxa"/>
              <w:start w:w="120" w:type="dxa"/>
              <w:bottom w:w="100" w:type="dxa"/>
              <w:end w:w="120" w:type="dxa"/>
            </w:tcMar>
            <w:vAlign w:val="center"/>
          </w:tcPr>
          <w:p>
            <w:pPr>
              <w:spacing w:after="40" w:line="276" w:lineRule="auto"/>
            </w:pPr>
            <w:r>
              <w:rPr>
                <w:rFonts w:ascii="Calibri" w:hAnsi="Calibri"/>
                <w:sz w:val="19"/>
              </w:rPr>
              <w:t>Check Tools → Bottle Check-In CSV; confirm Pacific dates/times; clear WP Engine cache; refresh the kiosk.</w:t>
            </w:r>
          </w:p>
        </w:tc>
      </w:tr>
      <w:tr>
        <w:trPr>
          <w:cantSplit w:val="true"/>
        </w:trPr>
        <w:tc>
          <w:tcPr>
            <w:tcW w:type="dxa" w:w="2600"/>
            <w:tcMar>
              <w:top w:w="100" w:type="dxa"/>
              <w:start w:w="120" w:type="dxa"/>
              <w:bottom w:w="100" w:type="dxa"/>
              <w:end w:w="120" w:type="dxa"/>
            </w:tcMar>
            <w:vAlign w:val="center"/>
          </w:tcPr>
          <w:p>
            <w:pPr>
              <w:spacing w:after="40" w:line="276" w:lineRule="auto"/>
            </w:pPr>
            <w:r>
              <w:rPr>
                <w:rFonts w:ascii="Calibri" w:hAnsi="Calibri"/>
                <w:b/>
                <w:sz w:val="19"/>
              </w:rPr>
              <w:t>Wrong event name appears</w:t>
            </w:r>
          </w:p>
        </w:tc>
        <w:tc>
          <w:tcPr>
            <w:tcW w:type="dxa" w:w="2800"/>
            <w:tcMar>
              <w:top w:w="100" w:type="dxa"/>
              <w:start w:w="120" w:type="dxa"/>
              <w:bottom w:w="100" w:type="dxa"/>
              <w:end w:w="120" w:type="dxa"/>
            </w:tcMar>
            <w:vAlign w:val="center"/>
          </w:tcPr>
          <w:p>
            <w:pPr>
              <w:spacing w:after="40" w:line="276" w:lineRule="auto"/>
            </w:pPr>
            <w:r>
              <w:rPr>
                <w:rFonts w:ascii="Calibri" w:hAnsi="Calibri"/>
                <w:sz w:val="19"/>
              </w:rPr>
              <w:t>Overlapping windows or the wrong event record is active.</w:t>
            </w:r>
          </w:p>
        </w:tc>
        <w:tc>
          <w:tcPr>
            <w:tcW w:type="dxa" w:w="3960"/>
            <w:tcMar>
              <w:top w:w="100" w:type="dxa"/>
              <w:start w:w="120" w:type="dxa"/>
              <w:bottom w:w="100" w:type="dxa"/>
              <w:end w:w="120" w:type="dxa"/>
            </w:tcMar>
            <w:vAlign w:val="center"/>
          </w:tcPr>
          <w:p>
            <w:pPr>
              <w:spacing w:after="40" w:line="276" w:lineRule="auto"/>
            </w:pPr>
            <w:r>
              <w:rPr>
                <w:rFonts w:ascii="Calibri" w:hAnsi="Calibri"/>
                <w:sz w:val="19"/>
              </w:rPr>
              <w:t>Correct the event windows before accepting more submissions.</w:t>
            </w:r>
          </w:p>
        </w:tc>
      </w:tr>
      <w:tr>
        <w:trPr>
          <w:cantSplit w:val="true"/>
        </w:trPr>
        <w:tc>
          <w:tcPr>
            <w:tcW w:type="dxa" w:w="2600"/>
            <w:tcMar>
              <w:top w:w="100" w:type="dxa"/>
              <w:start w:w="120" w:type="dxa"/>
              <w:bottom w:w="100" w:type="dxa"/>
              <w:end w:w="120" w:type="dxa"/>
            </w:tcMar>
            <w:vAlign w:val="center"/>
          </w:tcPr>
          <w:p>
            <w:pPr>
              <w:spacing w:after="40" w:line="276" w:lineRule="auto"/>
            </w:pPr>
            <w:r>
              <w:rPr>
                <w:rFonts w:ascii="Calibri" w:hAnsi="Calibri"/>
                <w:b/>
                <w:sz w:val="19"/>
              </w:rPr>
              <w:t>Duplicate claim check is rejected</w:t>
            </w:r>
          </w:p>
        </w:tc>
        <w:tc>
          <w:tcPr>
            <w:tcW w:type="dxa" w:w="2800"/>
            <w:tcMar>
              <w:top w:w="100" w:type="dxa"/>
              <w:start w:w="120" w:type="dxa"/>
              <w:bottom w:w="100" w:type="dxa"/>
              <w:end w:w="120" w:type="dxa"/>
            </w:tcMar>
            <w:vAlign w:val="center"/>
          </w:tcPr>
          <w:p>
            <w:pPr>
              <w:spacing w:after="40" w:line="276" w:lineRule="auto"/>
            </w:pPr>
            <w:r>
              <w:rPr>
                <w:rFonts w:ascii="Calibri" w:hAnsi="Calibri"/>
                <w:sz w:val="19"/>
              </w:rPr>
              <w:t>That number already exists in the form database.</w:t>
            </w:r>
          </w:p>
        </w:tc>
        <w:tc>
          <w:tcPr>
            <w:tcW w:type="dxa" w:w="3960"/>
            <w:tcMar>
              <w:top w:w="100" w:type="dxa"/>
              <w:start w:w="120" w:type="dxa"/>
              <w:bottom w:w="100" w:type="dxa"/>
              <w:end w:w="120" w:type="dxa"/>
            </w:tcMar>
            <w:vAlign w:val="center"/>
          </w:tcPr>
          <w:p>
            <w:pPr>
              <w:spacing w:after="40" w:line="276" w:lineRule="auto"/>
            </w:pPr>
            <w:r>
              <w:rPr>
                <w:rFonts w:ascii="Calibri" w:hAnsi="Calibri"/>
                <w:sz w:val="19"/>
              </w:rPr>
              <w:t>Verify the physical tag. Search existing entries before changing anything; do not invent a replacement number.</w:t>
            </w:r>
          </w:p>
        </w:tc>
      </w:tr>
      <w:tr>
        <w:trPr>
          <w:cantSplit w:val="true"/>
        </w:trPr>
        <w:tc>
          <w:tcPr>
            <w:tcW w:type="dxa" w:w="2600"/>
            <w:tcMar>
              <w:top w:w="100" w:type="dxa"/>
              <w:start w:w="120" w:type="dxa"/>
              <w:bottom w:w="100" w:type="dxa"/>
              <w:end w:w="120" w:type="dxa"/>
            </w:tcMar>
            <w:vAlign w:val="center"/>
          </w:tcPr>
          <w:p>
            <w:pPr>
              <w:spacing w:after="40" w:line="276" w:lineRule="auto"/>
            </w:pPr>
            <w:r>
              <w:rPr>
                <w:rFonts w:ascii="Calibri" w:hAnsi="Calibri"/>
                <w:b/>
                <w:sz w:val="19"/>
              </w:rPr>
              <w:t>Submit appears slow</w:t>
            </w:r>
          </w:p>
        </w:tc>
        <w:tc>
          <w:tcPr>
            <w:tcW w:type="dxa" w:w="2800"/>
            <w:tcMar>
              <w:top w:w="100" w:type="dxa"/>
              <w:start w:w="120" w:type="dxa"/>
              <w:bottom w:w="100" w:type="dxa"/>
              <w:end w:w="120" w:type="dxa"/>
            </w:tcMar>
            <w:vAlign w:val="center"/>
          </w:tcPr>
          <w:p>
            <w:pPr>
              <w:spacing w:after="40" w:line="276" w:lineRule="auto"/>
            </w:pPr>
            <w:r>
              <w:rPr>
                <w:rFonts w:ascii="Calibri" w:hAnsi="Calibri"/>
                <w:sz w:val="19"/>
              </w:rPr>
              <w:t>Network, WordPress hosting, or email delivery may be delayed.</w:t>
            </w:r>
          </w:p>
        </w:tc>
        <w:tc>
          <w:tcPr>
            <w:tcW w:type="dxa" w:w="3960"/>
            <w:tcMar>
              <w:top w:w="100" w:type="dxa"/>
              <w:start w:w="120" w:type="dxa"/>
              <w:bottom w:w="100" w:type="dxa"/>
              <w:end w:w="120" w:type="dxa"/>
            </w:tcMar>
            <w:vAlign w:val="center"/>
          </w:tcPr>
          <w:p>
            <w:pPr>
              <w:spacing w:after="40" w:line="276" w:lineRule="auto"/>
            </w:pPr>
            <w:r>
              <w:rPr>
                <w:rFonts w:ascii="Calibri" w:hAnsi="Calibri"/>
                <w:sz w:val="19"/>
              </w:rPr>
              <w:t>Check Wi-Fi first. The guest email is queued so it should not normally hold up the kiosk response.</w:t>
            </w:r>
          </w:p>
        </w:tc>
      </w:tr>
      <w:tr>
        <w:trPr>
          <w:cantSplit w:val="true"/>
        </w:trPr>
        <w:tc>
          <w:tcPr>
            <w:tcW w:type="dxa" w:w="2600"/>
            <w:tcMar>
              <w:top w:w="100" w:type="dxa"/>
              <w:start w:w="120" w:type="dxa"/>
              <w:bottom w:w="100" w:type="dxa"/>
              <w:end w:w="120" w:type="dxa"/>
            </w:tcMar>
            <w:vAlign w:val="center"/>
          </w:tcPr>
          <w:p>
            <w:pPr>
              <w:spacing w:after="40" w:line="276" w:lineRule="auto"/>
            </w:pPr>
            <w:r>
              <w:rPr>
                <w:rFonts w:ascii="Calibri" w:hAnsi="Calibri"/>
                <w:b/>
                <w:sz w:val="19"/>
              </w:rPr>
              <w:t>Confirmation does not disappear</w:t>
            </w:r>
          </w:p>
        </w:tc>
        <w:tc>
          <w:tcPr>
            <w:tcW w:type="dxa" w:w="2800"/>
            <w:tcMar>
              <w:top w:w="100" w:type="dxa"/>
              <w:start w:w="120" w:type="dxa"/>
              <w:bottom w:w="100" w:type="dxa"/>
              <w:end w:w="120" w:type="dxa"/>
            </w:tcMar>
            <w:vAlign w:val="center"/>
          </w:tcPr>
          <w:p>
            <w:pPr>
              <w:spacing w:after="40" w:line="276" w:lineRule="auto"/>
            </w:pPr>
            <w:r>
              <w:rPr>
                <w:rFonts w:ascii="Calibri" w:hAnsi="Calibri"/>
                <w:sz w:val="19"/>
              </w:rPr>
              <w:t>Cached JavaScript or a site code regression.</w:t>
            </w:r>
          </w:p>
        </w:tc>
        <w:tc>
          <w:tcPr>
            <w:tcW w:type="dxa" w:w="3960"/>
            <w:tcMar>
              <w:top w:w="100" w:type="dxa"/>
              <w:start w:w="120" w:type="dxa"/>
              <w:bottom w:w="100" w:type="dxa"/>
              <w:end w:w="120" w:type="dxa"/>
            </w:tcMar>
            <w:vAlign w:val="center"/>
          </w:tcPr>
          <w:p>
            <w:pPr>
              <w:spacing w:after="40" w:line="276" w:lineRule="auto"/>
            </w:pPr>
            <w:r>
              <w:rPr>
                <w:rFonts w:ascii="Calibri" w:hAnsi="Calibri"/>
                <w:sz w:val="19"/>
              </w:rPr>
              <w:t>Hard-refresh the kiosk, clear WP Engine cache, and retest. Escalate before the event if it persists.</w:t>
            </w:r>
          </w:p>
        </w:tc>
      </w:tr>
      <w:tr>
        <w:trPr>
          <w:cantSplit w:val="true"/>
        </w:trPr>
        <w:tc>
          <w:tcPr>
            <w:tcW w:type="dxa" w:w="2600"/>
            <w:tcMar>
              <w:top w:w="100" w:type="dxa"/>
              <w:start w:w="120" w:type="dxa"/>
              <w:bottom w:w="100" w:type="dxa"/>
              <w:end w:w="120" w:type="dxa"/>
            </w:tcMar>
            <w:vAlign w:val="center"/>
          </w:tcPr>
          <w:p>
            <w:pPr>
              <w:spacing w:after="40" w:line="276" w:lineRule="auto"/>
            </w:pPr>
            <w:r>
              <w:rPr>
                <w:rFonts w:ascii="Calibri" w:hAnsi="Calibri"/>
                <w:b/>
                <w:sz w:val="19"/>
              </w:rPr>
              <w:t>Company shows as required</w:t>
            </w:r>
          </w:p>
        </w:tc>
        <w:tc>
          <w:tcPr>
            <w:tcW w:type="dxa" w:w="2800"/>
            <w:tcMar>
              <w:top w:w="100" w:type="dxa"/>
              <w:start w:w="120" w:type="dxa"/>
              <w:bottom w:w="100" w:type="dxa"/>
              <w:end w:w="120" w:type="dxa"/>
            </w:tcMar>
            <w:vAlign w:val="center"/>
          </w:tcPr>
          <w:p>
            <w:pPr>
              <w:spacing w:after="40" w:line="276" w:lineRule="auto"/>
            </w:pPr>
            <w:r>
              <w:rPr>
                <w:rFonts w:ascii="Calibri" w:hAnsi="Calibri"/>
                <w:sz w:val="19"/>
              </w:rPr>
              <w:t>The page-level custom validation list was changed.</w:t>
            </w:r>
          </w:p>
        </w:tc>
        <w:tc>
          <w:tcPr>
            <w:tcW w:type="dxa" w:w="3960"/>
            <w:tcMar>
              <w:top w:w="100" w:type="dxa"/>
              <w:start w:w="120" w:type="dxa"/>
              <w:bottom w:w="100" w:type="dxa"/>
              <w:end w:w="120" w:type="dxa"/>
            </w:tcMar>
            <w:vAlign w:val="center"/>
          </w:tcPr>
          <w:p>
            <w:pPr>
              <w:spacing w:after="40" w:line="276" w:lineRule="auto"/>
            </w:pPr>
            <w:r>
              <w:rPr>
                <w:rFonts w:ascii="Calibri" w:hAnsi="Calibri"/>
                <w:sz w:val="19"/>
              </w:rPr>
              <w:t>Company should not have an asterisk. Review the check-in page’s custom script and remove names[last_name] from requiredNames.</w:t>
            </w:r>
          </w:p>
        </w:tc>
      </w:tr>
      <w:tr>
        <w:trPr>
          <w:cantSplit w:val="true"/>
        </w:trPr>
        <w:tc>
          <w:tcPr>
            <w:tcW w:type="dxa" w:w="2600"/>
            <w:tcMar>
              <w:top w:w="100" w:type="dxa"/>
              <w:start w:w="120" w:type="dxa"/>
              <w:bottom w:w="100" w:type="dxa"/>
              <w:end w:w="120" w:type="dxa"/>
            </w:tcMar>
            <w:vAlign w:val="center"/>
          </w:tcPr>
          <w:p>
            <w:pPr>
              <w:spacing w:after="40" w:line="276" w:lineRule="auto"/>
            </w:pPr>
            <w:r>
              <w:rPr>
                <w:rFonts w:ascii="Calibri" w:hAnsi="Calibri"/>
                <w:b/>
                <w:sz w:val="19"/>
              </w:rPr>
              <w:t>CSV has one combined address</w:t>
            </w:r>
          </w:p>
        </w:tc>
        <w:tc>
          <w:tcPr>
            <w:tcW w:type="dxa" w:w="2800"/>
            <w:tcMar>
              <w:top w:w="100" w:type="dxa"/>
              <w:start w:w="120" w:type="dxa"/>
              <w:bottom w:w="100" w:type="dxa"/>
              <w:end w:w="120" w:type="dxa"/>
            </w:tcMar>
            <w:vAlign w:val="center"/>
          </w:tcPr>
          <w:p>
            <w:pPr>
              <w:spacing w:after="40" w:line="276" w:lineRule="auto"/>
            </w:pPr>
            <w:r>
              <w:rPr>
                <w:rFonts w:ascii="Calibri" w:hAnsi="Calibri"/>
                <w:sz w:val="19"/>
              </w:rPr>
              <w:t>The wrong exporter was used.</w:t>
            </w:r>
          </w:p>
        </w:tc>
        <w:tc>
          <w:tcPr>
            <w:tcW w:type="dxa" w:w="3960"/>
            <w:tcMar>
              <w:top w:w="100" w:type="dxa"/>
              <w:start w:w="120" w:type="dxa"/>
              <w:bottom w:w="100" w:type="dxa"/>
              <w:end w:w="120" w:type="dxa"/>
            </w:tcMar>
            <w:vAlign w:val="center"/>
          </w:tcPr>
          <w:p>
            <w:pPr>
              <w:spacing w:after="40" w:line="276" w:lineRule="auto"/>
            </w:pPr>
            <w:r>
              <w:rPr>
                <w:rFonts w:ascii="Calibri" w:hAnsi="Calibri"/>
                <w:sz w:val="19"/>
              </w:rPr>
              <w:t>Use Tools → Bottle Check-In CSV, not Fluent Forms’ built-in free export.</w:t>
            </w:r>
          </w:p>
        </w:tc>
      </w:tr>
      <w:tr>
        <w:trPr>
          <w:cantSplit w:val="true"/>
        </w:trPr>
        <w:tc>
          <w:tcPr>
            <w:tcW w:type="dxa" w:w="2600"/>
            <w:tcMar>
              <w:top w:w="100" w:type="dxa"/>
              <w:start w:w="120" w:type="dxa"/>
              <w:bottom w:w="100" w:type="dxa"/>
              <w:end w:w="120" w:type="dxa"/>
            </w:tcMar>
            <w:vAlign w:val="center"/>
          </w:tcPr>
          <w:p>
            <w:pPr>
              <w:spacing w:after="40" w:line="276" w:lineRule="auto"/>
            </w:pPr>
            <w:r>
              <w:rPr>
                <w:rFonts w:ascii="Calibri" w:hAnsi="Calibri"/>
                <w:b/>
                <w:sz w:val="19"/>
              </w:rPr>
              <w:t>Address columns are blank</w:t>
            </w:r>
          </w:p>
        </w:tc>
        <w:tc>
          <w:tcPr>
            <w:tcW w:type="dxa" w:w="2800"/>
            <w:tcMar>
              <w:top w:w="100" w:type="dxa"/>
              <w:start w:w="120" w:type="dxa"/>
              <w:bottom w:w="100" w:type="dxa"/>
              <w:end w:w="120" w:type="dxa"/>
            </w:tcMar>
            <w:vAlign w:val="center"/>
          </w:tcPr>
          <w:p>
            <w:pPr>
              <w:spacing w:after="40" w:line="276" w:lineRule="auto"/>
            </w:pPr>
            <w:r>
              <w:rPr>
                <w:rFonts w:ascii="Calibri" w:hAnsi="Calibri"/>
                <w:sz w:val="19"/>
              </w:rPr>
              <w:t>Field names or export mappings were changed.</w:t>
            </w:r>
          </w:p>
        </w:tc>
        <w:tc>
          <w:tcPr>
            <w:tcW w:type="dxa" w:w="3960"/>
            <w:tcMar>
              <w:top w:w="100" w:type="dxa"/>
              <w:start w:w="120" w:type="dxa"/>
              <w:bottom w:w="100" w:type="dxa"/>
              <w:end w:w="120" w:type="dxa"/>
            </w:tcMar>
            <w:vAlign w:val="center"/>
          </w:tcPr>
          <w:p>
            <w:pPr>
              <w:spacing w:after="40" w:line="276" w:lineRule="auto"/>
            </w:pPr>
            <w:r>
              <w:rPr>
                <w:rFonts w:ascii="Calibri" w:hAnsi="Calibri"/>
                <w:sz w:val="19"/>
              </w:rPr>
              <w:t>Stop fulfillment and escalate. Verify Form ID 3 and the custom exporter mapping before re-exporting.</w:t>
            </w:r>
          </w:p>
        </w:tc>
      </w:tr>
      <w:tr>
        <w:trPr>
          <w:cantSplit w:val="true"/>
        </w:trPr>
        <w:tc>
          <w:tcPr>
            <w:tcW w:type="dxa" w:w="2600"/>
            <w:tcMar>
              <w:top w:w="100" w:type="dxa"/>
              <w:start w:w="120" w:type="dxa"/>
              <w:bottom w:w="100" w:type="dxa"/>
              <w:end w:w="120" w:type="dxa"/>
            </w:tcMar>
            <w:vAlign w:val="center"/>
          </w:tcPr>
          <w:p>
            <w:pPr>
              <w:spacing w:after="40" w:line="276" w:lineRule="auto"/>
            </w:pPr>
            <w:r>
              <w:rPr>
                <w:rFonts w:ascii="Calibri" w:hAnsi="Calibri"/>
                <w:b/>
                <w:sz w:val="19"/>
              </w:rPr>
              <w:t>Guest email is not received</w:t>
            </w:r>
          </w:p>
        </w:tc>
        <w:tc>
          <w:tcPr>
            <w:tcW w:type="dxa" w:w="2800"/>
            <w:tcMar>
              <w:top w:w="100" w:type="dxa"/>
              <w:start w:w="120" w:type="dxa"/>
              <w:bottom w:w="100" w:type="dxa"/>
              <w:end w:w="120" w:type="dxa"/>
            </w:tcMar>
            <w:vAlign w:val="center"/>
          </w:tcPr>
          <w:p>
            <w:pPr>
              <w:spacing w:after="40" w:line="276" w:lineRule="auto"/>
            </w:pPr>
            <w:r>
              <w:rPr>
                <w:rFonts w:ascii="Calibri" w:hAnsi="Calibri"/>
                <w:sz w:val="19"/>
              </w:rPr>
              <w:t>Bad address, spam filtering, or mail queue/delivery issue.</w:t>
            </w:r>
          </w:p>
        </w:tc>
        <w:tc>
          <w:tcPr>
            <w:tcW w:type="dxa" w:w="3960"/>
            <w:tcMar>
              <w:top w:w="100" w:type="dxa"/>
              <w:start w:w="120" w:type="dxa"/>
              <w:bottom w:w="100" w:type="dxa"/>
              <w:end w:w="120" w:type="dxa"/>
            </w:tcMar>
            <w:vAlign w:val="center"/>
          </w:tcPr>
          <w:p>
            <w:pPr>
              <w:spacing w:after="40" w:line="276" w:lineRule="auto"/>
            </w:pPr>
            <w:r>
              <w:rPr>
                <w:rFonts w:ascii="Calibri" w:hAnsi="Calibri"/>
                <w:sz w:val="19"/>
              </w:rPr>
              <w:t>Confirm the submission saved, then review WP Mail SMTP logs. Do not resubmit unless necessary.</w:t>
            </w:r>
          </w:p>
        </w:tc>
      </w:tr>
    </w:tbl>
    <w:p>
      <w:pPr>
        <w:pStyle w:val="Heading1"/>
        <w:keepNext/>
      </w:pPr>
      <w:r>
        <w:t>10. Technical configuration</w:t>
      </w:r>
    </w:p>
    <w:p>
      <w:r>
        <w:t>This section is for the person maintaining the workflow, not for routine event staff.</w:t>
      </w:r>
    </w:p>
    <w:tbl>
      <w:tblPr>
        <w:tblStyle w:val="TableGrid"/>
        <w:tblW w:type="dxa" w:w="9360"/>
        <w:tblLayout w:type="fixed"/>
        <w:tblLook w:firstColumn="1" w:firstRow="1" w:lastColumn="0" w:lastRow="0" w:noHBand="0" w:noVBand="1" w:val="04A0"/>
        <w:tblInd w:w="120" w:type="dxa"/>
      </w:tblPr>
      <w:tblGrid>
        <w:gridCol w:w="2700"/>
        <w:gridCol w:w="6660"/>
      </w:tblGrid>
      <w:tr>
        <w:trPr>
          <w:tblHeader w:val="true"/>
          <w:cantSplit w:val="true"/>
        </w:trPr>
        <w:tc>
          <w:tcPr>
            <w:tcW w:type="dxa" w:w="2700"/>
            <w:shd w:fill="2E74B5"/>
            <w:tcMar>
              <w:top w:w="100" w:type="dxa"/>
              <w:start w:w="120" w:type="dxa"/>
              <w:bottom w:w="100" w:type="dxa"/>
              <w:end w:w="120" w:type="dxa"/>
            </w:tcMar>
            <w:vAlign w:val="center"/>
          </w:tcPr>
          <w:p>
            <w:pPr>
              <w:spacing w:after="40" w:line="276" w:lineRule="auto"/>
            </w:pPr>
            <w:r>
              <w:rPr>
                <w:rFonts w:ascii="Calibri" w:hAnsi="Calibri"/>
                <w:b/>
                <w:color w:val="FFFFFF"/>
                <w:sz w:val="19"/>
              </w:rPr>
              <w:t>Component</w:t>
            </w:r>
          </w:p>
        </w:tc>
        <w:tc>
          <w:tcPr>
            <w:tcW w:type="dxa" w:w="6660"/>
            <w:shd w:fill="2E74B5"/>
            <w:tcMar>
              <w:top w:w="100" w:type="dxa"/>
              <w:start w:w="120" w:type="dxa"/>
              <w:bottom w:w="100" w:type="dxa"/>
              <w:end w:w="120" w:type="dxa"/>
            </w:tcMar>
            <w:vAlign w:val="center"/>
          </w:tcPr>
          <w:p>
            <w:pPr>
              <w:spacing w:after="40" w:line="276" w:lineRule="auto"/>
            </w:pPr>
            <w:r>
              <w:rPr>
                <w:rFonts w:ascii="Calibri" w:hAnsi="Calibri"/>
                <w:b/>
                <w:color w:val="FFFFFF"/>
                <w:sz w:val="19"/>
              </w:rPr>
              <w:t>Implementation</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WordPress page</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Bottle Check-In | Ship My Bottle Home; post/page ID 306; public slug /check-in/</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Form</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Fluent Forms Form ID 3</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Custom code</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Code Snippets plugin; the Build-a-Bottle workflow is in snippet ID 5</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Event/export screen</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Custom admin tool at Tools → Bottle Check-In CSV</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Timezone</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America/Los_Angeles; times entered as local Pacific time and DST-safe</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Duplicate control</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Claim Check Number uses Fluent Forms unique validation</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Email behavior</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Guest confirmation enabled; Build-a-Bottle admin notification disabled; guest mail queued after save</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Kiosk reset</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Success event handler dismisses the message after about five seconds, resets/shows the form, scrolls up, and focuses Claim Check Number</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Caching</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The check-in page is configured not to be cached; WP Engine cache may still need manual clearing after changes</w:t>
            </w:r>
          </w:p>
        </w:tc>
      </w:tr>
      <w:tr>
        <w:trPr>
          <w:cantSplit w:val="true"/>
        </w:trPr>
        <w:tc>
          <w:tcPr>
            <w:tcW w:type="dxa" w:w="2700"/>
            <w:tcMar>
              <w:top w:w="100" w:type="dxa"/>
              <w:start w:w="120" w:type="dxa"/>
              <w:bottom w:w="100" w:type="dxa"/>
              <w:end w:w="120" w:type="dxa"/>
            </w:tcMar>
            <w:vAlign w:val="center"/>
          </w:tcPr>
          <w:p>
            <w:pPr>
              <w:spacing w:after="40" w:line="276" w:lineRule="auto"/>
            </w:pPr>
            <w:r>
              <w:rPr>
                <w:rFonts w:ascii="Calibri" w:hAnsi="Calibri"/>
                <w:b/>
                <w:sz w:val="19"/>
              </w:rPr>
              <w:t>Page-level script</w:t>
            </w:r>
          </w:p>
        </w:tc>
        <w:tc>
          <w:tcPr>
            <w:tcW w:type="dxa" w:w="6660"/>
            <w:tcMar>
              <w:top w:w="100" w:type="dxa"/>
              <w:start w:w="120" w:type="dxa"/>
              <w:bottom w:w="100" w:type="dxa"/>
              <w:end w:w="120" w:type="dxa"/>
            </w:tcMar>
            <w:vAlign w:val="center"/>
          </w:tcPr>
          <w:p>
            <w:pPr>
              <w:spacing w:after="40" w:line="276" w:lineRule="auto"/>
            </w:pPr>
            <w:r>
              <w:rPr>
                <w:rFonts w:ascii="Calibri" w:hAnsi="Calibri"/>
                <w:sz w:val="19"/>
              </w:rPr>
              <w:t>The page enforces selected required fields. Name is names[first_name]; Company is names[last_name] and must remain excluded from requiredNames.</w:t>
            </w:r>
          </w:p>
        </w:tc>
      </w:tr>
    </w:tbl>
    <w:p>
      <w:pPr>
        <w:pStyle w:val="Heading1"/>
        <w:keepNext/>
      </w:pPr>
      <w:r>
        <w:t>11. Safe change-and-test procedure</w:t>
      </w:r>
    </w:p>
    <w:p>
      <w:pPr>
        <w:pStyle w:val="ListNumber"/>
      </w:pPr>
      <w:r>
        <w:t>Make one logical change at a time and record what changed.</w:t>
      </w:r>
    </w:p>
    <w:p>
      <w:pPr>
        <w:pStyle w:val="ListNumber"/>
      </w:pPr>
      <w:r>
        <w:t>Avoid editing the live form during an active event.</w:t>
      </w:r>
    </w:p>
    <w:p>
      <w:pPr>
        <w:pStyle w:val="ListNumber"/>
      </w:pPr>
      <w:r>
        <w:t>After changes, clear WP Engine cache if the public page still shows old behavior.</w:t>
      </w:r>
    </w:p>
    <w:p>
      <w:pPr>
        <w:pStyle w:val="ListNumber"/>
      </w:pPr>
      <w:r>
        <w:t>Verify desktop and tablet-sized layouts.</w:t>
      </w:r>
    </w:p>
    <w:p>
      <w:pPr>
        <w:pStyle w:val="ListNumber"/>
      </w:pPr>
      <w:r>
        <w:t>Use a clearly labeled test event and a unique test claim-check number for a true end-to-end test.</w:t>
      </w:r>
    </w:p>
    <w:p>
      <w:pPr>
        <w:pStyle w:val="ListNumber"/>
      </w:pPr>
      <w:r>
        <w:t>Verify: entry saved, event label attached, Company optional, duplicate validation works, guest email sent, confirmation disappears, form resets, scroll returns to top, and CSV contains separate address columns.</w:t>
      </w:r>
    </w:p>
    <w:p>
      <w:pPr>
        <w:pStyle w:val="ListNumber"/>
      </w:pPr>
      <w:r>
        <w:t>Delete only the test submission—not the production form or legitimate event data—after validation.</w:t>
      </w:r>
    </w:p>
    <w:p>
      <w:pPr>
        <w:pStyle w:val="Heading1"/>
        <w:keepNext/>
      </w:pPr>
      <w:r>
        <w:t>12. New-hire event checklist</w:t>
      </w:r>
    </w:p>
    <w:p>
      <w:pPr>
        <w:spacing w:after="100"/>
        <w:ind w:left="144"/>
      </w:pPr>
      <w:r>
        <w:t>☐ I can log in to WordPress using the password manager.</w:t>
      </w:r>
    </w:p>
    <w:p>
      <w:pPr>
        <w:spacing w:after="100"/>
        <w:ind w:left="144"/>
      </w:pPr>
      <w:r>
        <w:t>☐ I know where Tools → Bottle Check-In CSV is located.</w:t>
      </w:r>
    </w:p>
    <w:p>
      <w:pPr>
        <w:spacing w:after="100"/>
        <w:ind w:left="144"/>
      </w:pPr>
      <w:r>
        <w:t>☐ I created the correct event window in Pacific time.</w:t>
      </w:r>
    </w:p>
    <w:p>
      <w:pPr>
        <w:spacing w:after="100"/>
        <w:ind w:left="144"/>
      </w:pPr>
      <w:r>
        <w:t>☐ I verified the correct CURRENT EVENT banner on the kiosk.</w:t>
      </w:r>
    </w:p>
    <w:p>
      <w:pPr>
        <w:spacing w:after="100"/>
        <w:ind w:left="144"/>
      </w:pPr>
      <w:r>
        <w:t>☐ I know Company is optional and Address Line 2 is optional.</w:t>
      </w:r>
    </w:p>
    <w:p>
      <w:pPr>
        <w:spacing w:after="100"/>
        <w:ind w:left="144"/>
      </w:pPr>
      <w:r>
        <w:t>☐ I know every bottle needs its own unique claim-check submission.</w:t>
      </w:r>
    </w:p>
    <w:p>
      <w:pPr>
        <w:spacing w:after="100"/>
        <w:ind w:left="144"/>
      </w:pPr>
      <w:r>
        <w:t>☐ I watched the confirmation disappear and the form reset before handing off the device.</w:t>
      </w:r>
    </w:p>
    <w:p>
      <w:pPr>
        <w:spacing w:after="100"/>
        <w:ind w:left="144"/>
      </w:pPr>
      <w:r>
        <w:t>☐ I can export one event to CSV with separate address columns.</w:t>
      </w:r>
    </w:p>
    <w:p>
      <w:pPr>
        <w:spacing w:after="100"/>
        <w:ind w:left="144"/>
      </w:pPr>
      <w:r>
        <w:t>☐ I know not to delete production submissions or use the built-in JSON export for fulfillment.</w:t>
      </w:r>
    </w:p>
    <w:p>
      <w:pPr>
        <w:spacing w:after="100"/>
        <w:ind w:left="144"/>
      </w:pPr>
      <w:r>
        <w:t>☐ I know how to lock the form by ending the active event window.</w:t>
      </w:r>
    </w:p>
    <w:p>
      <w:pPr>
        <w:pStyle w:val="Heading1"/>
        <w:keepNext/>
      </w:pPr>
      <w:r>
        <w:t>13. Escalation notes</w:t>
      </w:r>
    </w:p>
    <w:p>
      <w:r>
        <w:t>Stop live collection and escalate if the wrong event is active; entries are not saving; claim checks are not validated; address columns are missing; or guests can see prior submissions. Do not work around data-integrity or privacy failures. For guest questions: U.S. shipping only; adult signature (21+) required.</w:t>
      </w:r>
    </w:p>
    <w:sectPr w:rsidR="00FC693F" w:rsidRPr="0006063C" w:rsidSect="00034616">
      <w:headerReference w:type="default" r:id="rId9"/>
      <w:footerReference w:type="default" r:id="rId10"/>
      <w:pgSz w:w="12240" w:h="15840"/>
      <w:pgMar w:top="1152" w:right="1440" w:bottom="1080" w:left="1440" w:header="605"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6727D"/>
        <w:sz w:val="17"/>
      </w:rPr>
      <w:t xml:space="preserve">Internal operating guide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66727D"/>
        <w:sz w:val="17"/>
      </w:rPr>
      <w:t>BUILD-A-BOTTLE  |  CHECK-IN OPERATIONS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24334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300" w:lineRule="auto"/>
      <w:ind w:left="540" w:hanging="271"/>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epTitle">
    <w:name w:val="Step Title"/>
    <w:pPr>
      <w:keepNext/>
      <w:spacing w:before="140" w:after="60"/>
    </w:pPr>
    <w:rPr>
      <w:rFonts w:ascii="Calibri" w:hAnsi="Calibri"/>
      <w:b/>
      <w:color w:val="1F4D78"/>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Build-a-Bottle Bottle Check-In Operations Guide</dc:title>
  <dc:subject>Event setup, kiosk operation, exports, and maintenance</dc:subject>
  <dc:creator>Savage Wine / Build-a-Bottle</dc:creator>
  <cp:keywords>Build-a-Bottle, check-in, shipping, Fluent Forms, WordPress, SOP</cp:keywords>
  <dc:description>Operational handoff guide generated August 2026</dc:description>
  <cp:lastModifiedBy/>
  <cp:revision>1</cp:revision>
  <dcterms:created xsi:type="dcterms:W3CDTF">2013-12-23T23:15:00Z</dcterms:created>
  <dcterms:modified xsi:type="dcterms:W3CDTF">2013-12-23T23:15:00Z</dcterms:modified>
  <cp:category/>
</cp:coreProperties>
</file>